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tabs>
          <w:tab w:val="center" w:leader="none" w:pos="4513"/>
          <w:tab w:val="right" w:leader="none" w:pos="9026"/>
        </w:tabs>
        <w:ind w:left="0" w:firstLine="0"/>
        <w:rPr>
          <w:color w:val="351c7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tabs>
          <w:tab w:val="center" w:leader="none" w:pos="4513"/>
          <w:tab w:val="right" w:leader="none" w:pos="9026"/>
        </w:tabs>
        <w:ind w:left="0" w:firstLine="0"/>
        <w:rPr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6029650" cy="7493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263" r="-126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965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0"/>
        </w:tabs>
        <w:jc w:val="center"/>
        <w:rPr>
          <w:color w:val="351c75"/>
          <w:sz w:val="32"/>
          <w:szCs w:val="32"/>
        </w:rPr>
      </w:pPr>
      <w:bookmarkStart w:colFirst="0" w:colLast="0" w:name="_heading=h.vpmxfhxdu9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0"/>
        <w:jc w:val="center"/>
        <w:rPr>
          <w:color w:val="351c75"/>
          <w:sz w:val="32"/>
          <w:szCs w:val="32"/>
        </w:rPr>
      </w:pPr>
      <w:bookmarkStart w:colFirst="0" w:colLast="0" w:name="_heading=h.22obkbdc1r9" w:id="1"/>
      <w:bookmarkEnd w:id="1"/>
      <w:r w:rsidDel="00000000" w:rsidR="00000000" w:rsidRPr="00000000">
        <w:rPr>
          <w:color w:val="351c75"/>
          <w:sz w:val="32"/>
          <w:szCs w:val="32"/>
          <w:rtl w:val="0"/>
        </w:rPr>
        <w:t xml:space="preserve">Roselands Infants’ School </w:t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0"/>
        <w:jc w:val="center"/>
        <w:rPr>
          <w:color w:val="351c75"/>
          <w:sz w:val="32"/>
          <w:szCs w:val="32"/>
        </w:rPr>
      </w:pPr>
      <w:bookmarkStart w:colFirst="0" w:colLast="0" w:name="_heading=h.d2eqzrq83y6b" w:id="2"/>
      <w:bookmarkEnd w:id="2"/>
      <w:r w:rsidDel="00000000" w:rsidR="00000000" w:rsidRPr="00000000">
        <w:rPr>
          <w:color w:val="351c75"/>
          <w:sz w:val="32"/>
          <w:szCs w:val="32"/>
          <w:rtl w:val="0"/>
        </w:rPr>
        <w:t xml:space="preserve">Review of Pupil Premium Strategy for 2024-2025</w:t>
      </w:r>
    </w:p>
    <w:p w:rsidR="00000000" w:rsidDel="00000000" w:rsidP="00000000" w:rsidRDefault="00000000" w:rsidRPr="00000000" w14:paraId="00000006">
      <w:pPr>
        <w:spacing w:after="240" w:before="480" w:lineRule="auto"/>
        <w:rPr>
          <w:b w:val="1"/>
          <w:color w:val="104f75"/>
          <w:sz w:val="24"/>
          <w:szCs w:val="24"/>
        </w:rPr>
      </w:pPr>
      <w:r w:rsidDel="00000000" w:rsidR="00000000" w:rsidRPr="00000000">
        <w:rPr>
          <w:b w:val="1"/>
          <w:color w:val="351c75"/>
          <w:sz w:val="32"/>
          <w:szCs w:val="32"/>
          <w:rtl w:val="0"/>
        </w:rPr>
        <w:t xml:space="preserve">Funding overview 2024 - 2025</w:t>
      </w: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0"/>
        <w:gridCol w:w="3480"/>
        <w:tblGridChange w:id="0">
          <w:tblGrid>
            <w:gridCol w:w="6510"/>
            <w:gridCol w:w="3480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ind w:right="57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Pupil premium funding allocation this academic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£84,210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ind w:right="57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Pupil premium funding unspent 2023 - 2024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£1,762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Rule="auto"/>
              <w:ind w:right="57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Total budget for this academic year</w:t>
            </w:r>
          </w:p>
          <w:p w:rsidR="00000000" w:rsidDel="00000000" w:rsidP="00000000" w:rsidRDefault="00000000" w:rsidRPr="00000000" w14:paraId="0000000E">
            <w:pPr>
              <w:spacing w:after="60" w:before="60" w:lineRule="auto"/>
              <w:ind w:left="57" w:right="57" w:firstLine="0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If your school is an academy in a trust that pools this funding, state the amount available to your school this academic 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£85,972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88" w:lineRule="auto"/>
        <w:jc w:val="center"/>
        <w:rPr>
          <w:rFonts w:ascii="Calibri" w:cs="Calibri" w:eastAsia="Calibri" w:hAnsi="Calibri"/>
          <w:b w:val="1"/>
          <w:color w:val="351c7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88" w:lineRule="auto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40"/>
          <w:szCs w:val="40"/>
          <w:rtl w:val="0"/>
        </w:rPr>
        <w:t xml:space="preserve">Disadvantaged pupil performance overview</w:t>
      </w:r>
      <w:r w:rsidDel="00000000" w:rsidR="00000000" w:rsidRPr="00000000">
        <w:rPr>
          <w:rtl w:val="0"/>
        </w:rPr>
      </w:r>
    </w:p>
    <w:tbl>
      <w:tblPr>
        <w:tblStyle w:val="Table2"/>
        <w:tblW w:w="949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6.5016872890887"/>
        <w:gridCol w:w="1356.5016872890887"/>
        <w:gridCol w:w="1356.5016872890887"/>
        <w:gridCol w:w="1356.5016872890887"/>
        <w:gridCol w:w="1356.5016872890887"/>
        <w:gridCol w:w="1356.5016872890887"/>
        <w:gridCol w:w="1356.5016872890887"/>
        <w:tblGridChange w:id="0">
          <w:tblGrid>
            <w:gridCol w:w="1356.5016872890887"/>
            <w:gridCol w:w="1356.5016872890887"/>
            <w:gridCol w:w="1356.5016872890887"/>
            <w:gridCol w:w="1356.5016872890887"/>
            <w:gridCol w:w="1356.5016872890887"/>
            <w:gridCol w:w="1356.5016872890887"/>
            <w:gridCol w:w="1356.5016872890887"/>
          </w:tblGrid>
        </w:tblGridChange>
      </w:tblGrid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01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Measure</w:t>
            </w:r>
          </w:p>
          <w:p w:rsidR="00000000" w:rsidDel="00000000" w:rsidP="00000000" w:rsidRDefault="00000000" w:rsidRPr="00000000" w14:paraId="0000001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2020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2021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2022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2023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1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rtl w:val="0"/>
              </w:rPr>
              <w:t xml:space="preserve">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EYFS - GLD</w:t>
            </w:r>
          </w:p>
          <w:p w:rsidR="00000000" w:rsidDel="00000000" w:rsidP="00000000" w:rsidRDefault="00000000" w:rsidRPr="00000000" w14:paraId="0000002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67%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53%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68%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70%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Year 1 Phonics Screening Check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0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1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41%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77%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84%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67%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Year 2 Reading, Writing, Maths Combined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0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1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37%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27%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4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95%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95%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93%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93%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91%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91.59%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Fixed Exclusion (FTE)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color w:val="0d0d0d"/>
                <w:sz w:val="22"/>
                <w:szCs w:val="22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6E">
      <w:pPr>
        <w:tabs>
          <w:tab w:val="center" w:leader="none" w:pos="4513"/>
          <w:tab w:val="right" w:leader="none" w:pos="9026"/>
        </w:tabs>
        <w:jc w:val="center"/>
        <w:rPr>
          <w:b w:val="1"/>
          <w:color w:val="0d0d0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4513"/>
          <w:tab w:val="right" w:leader="none" w:pos="9026"/>
        </w:tabs>
        <w:jc w:val="center"/>
        <w:rPr>
          <w:b w:val="1"/>
          <w:color w:val="0d0d0d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leader="none" w:pos="4513"/>
          <w:tab w:val="right" w:leader="none" w:pos="9026"/>
        </w:tabs>
        <w:jc w:val="center"/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b w:val="1"/>
          <w:color w:val="0d0d0d"/>
          <w:sz w:val="22"/>
          <w:szCs w:val="22"/>
          <w:highlight w:val="white"/>
          <w:rtl w:val="0"/>
        </w:rPr>
        <w:t xml:space="preserve">All disadvantaged pupils are receiving a broad and balanced curriculum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center" w:leader="none" w:pos="4513"/>
          <w:tab w:val="right" w:leader="none" w:pos="9026"/>
        </w:tabs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center" w:leader="none" w:pos="4513"/>
          <w:tab w:val="right" w:leader="none" w:pos="9026"/>
        </w:tabs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center" w:leader="none" w:pos="4513"/>
          <w:tab w:val="right" w:leader="none" w:pos="9026"/>
        </w:tabs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center" w:leader="none" w:pos="4513"/>
          <w:tab w:val="right" w:leader="none" w:pos="9026"/>
        </w:tabs>
        <w:jc w:val="center"/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40"/>
          <w:szCs w:val="40"/>
          <w:rtl w:val="0"/>
        </w:rPr>
        <w:t xml:space="preserve">Review of activity in this academic year</w:t>
      </w:r>
    </w:p>
    <w:p w:rsidR="00000000" w:rsidDel="00000000" w:rsidP="00000000" w:rsidRDefault="00000000" w:rsidRPr="00000000" w14:paraId="00000075">
      <w:pPr>
        <w:tabs>
          <w:tab w:val="center" w:leader="none" w:pos="4513"/>
          <w:tab w:val="right" w:leader="none" w:pos="9026"/>
        </w:tabs>
        <w:rPr>
          <w:rFonts w:ascii="Calibri" w:cs="Calibri" w:eastAsia="Calibri" w:hAnsi="Calibri"/>
          <w:b w:val="1"/>
          <w:color w:val="351c75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center" w:leader="none" w:pos="4513"/>
          <w:tab w:val="right" w:leader="none" w:pos="9026"/>
        </w:tabs>
        <w:spacing w:after="240" w:line="288" w:lineRule="auto"/>
        <w:rPr>
          <w:b w:val="1"/>
          <w:color w:val="351c75"/>
          <w:sz w:val="28"/>
          <w:szCs w:val="28"/>
        </w:rPr>
      </w:pPr>
      <w:r w:rsidDel="00000000" w:rsidR="00000000" w:rsidRPr="00000000">
        <w:rPr>
          <w:b w:val="1"/>
          <w:color w:val="351c75"/>
          <w:sz w:val="28"/>
          <w:szCs w:val="28"/>
          <w:rtl w:val="0"/>
        </w:rPr>
        <w:t xml:space="preserve">Review of Teaching and impact of spending </w:t>
      </w:r>
    </w:p>
    <w:tbl>
      <w:tblPr>
        <w:tblStyle w:val="Table3"/>
        <w:tblW w:w="1032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6210"/>
        <w:gridCol w:w="2325"/>
        <w:tblGridChange w:id="0">
          <w:tblGrid>
            <w:gridCol w:w="1785"/>
            <w:gridCol w:w="6210"/>
            <w:gridCol w:w="23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7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Spending</w:t>
            </w:r>
          </w:p>
          <w:p w:rsidR="00000000" w:rsidDel="00000000" w:rsidP="00000000" w:rsidRDefault="00000000" w:rsidRPr="00000000" w14:paraId="0000007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Allocation</w:t>
            </w:r>
          </w:p>
          <w:p w:rsidR="00000000" w:rsidDel="00000000" w:rsidP="00000000" w:rsidRDefault="00000000" w:rsidRPr="00000000" w14:paraId="00000079">
            <w:pPr>
              <w:spacing w:after="60" w:before="60" w:lineRule="auto"/>
              <w:ind w:left="57" w:right="57" w:firstLine="0"/>
              <w:jc w:val="center"/>
              <w:rPr>
                <w:b w:val="1"/>
                <w:color w:val="0d0d0d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£85,972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Activity and Impact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  <w:highlight w:val="cyan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Amount Spent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£</w:t>
            </w: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84,792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tabs>
                <w:tab w:val="center" w:leader="none" w:pos="4513"/>
                <w:tab w:val="right" w:leader="none" w:pos="9026"/>
              </w:tabs>
              <w:jc w:val="both"/>
              <w:rPr>
                <w:b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High quality support in lessons, small group withdrawal, one to one intervention in Reading, Writing and Maths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1:1 support for identified PPG pupil 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Impact reviewed at Pupil Progress Meetings and tracked through data drops.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See data below for impact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Daily 1-1 Reading with highly trained teaching staff in Sounds Write phonics programme.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teachers and Teaching Assistants now trained in Sounds Write.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9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25"/>
              <w:gridCol w:w="3325"/>
              <w:gridCol w:w="3325"/>
              <w:tblGridChange w:id="0">
                <w:tblGrid>
                  <w:gridCol w:w="3325"/>
                  <w:gridCol w:w="3325"/>
                  <w:gridCol w:w="332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d9d2e9" w:val="clear"/>
                </w:tcPr>
                <w:p w:rsidR="00000000" w:rsidDel="00000000" w:rsidP="00000000" w:rsidRDefault="00000000" w:rsidRPr="00000000" w14:paraId="0000008F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Reading attainment for PPG - Percentage of PPG pupils achieving the expected standard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</w:tcPr>
                <w:p w:rsidR="00000000" w:rsidDel="00000000" w:rsidP="00000000" w:rsidRDefault="00000000" w:rsidRPr="00000000" w14:paraId="0000009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Year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3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Term 2</w:t>
                  </w:r>
                </w:p>
              </w:tc>
              <w:tc>
                <w:tcPr>
                  <w:shd w:fill="d9d9d9" w:val="clear"/>
                </w:tcPr>
                <w:p w:rsidR="00000000" w:rsidDel="00000000" w:rsidP="00000000" w:rsidRDefault="00000000" w:rsidRPr="00000000" w14:paraId="00000094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Term 6</w:t>
                  </w:r>
                </w:p>
              </w:tc>
            </w:tr>
            <w:tr>
              <w:trPr>
                <w:cantSplit w:val="0"/>
                <w:trHeight w:val="726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95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EYFS</w:t>
                  </w:r>
                </w:p>
                <w:p w:rsidR="00000000" w:rsidDel="00000000" w:rsidP="00000000" w:rsidRDefault="00000000" w:rsidRPr="00000000" w14:paraId="00000096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 PPG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97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60%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9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60%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99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Year 1</w:t>
                  </w:r>
                </w:p>
                <w:p w:rsidR="00000000" w:rsidDel="00000000" w:rsidP="00000000" w:rsidRDefault="00000000" w:rsidRPr="00000000" w14:paraId="0000009A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 PPG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9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20%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9C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50%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9D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Year 2</w:t>
                  </w:r>
                </w:p>
                <w:p w:rsidR="00000000" w:rsidDel="00000000" w:rsidP="00000000" w:rsidRDefault="00000000" w:rsidRPr="00000000" w14:paraId="0000009E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 PPG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9F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62%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77%</w:t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widowControl w:val="0"/>
              <w:rPr>
                <w:color w:val="351c75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51c75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7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Implement a whole school reading strategy designed to support reading across the curriculum.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Tightly mapped text map for each year group including cross curricular reading opportunities - reading to learn as well as learning to read.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reading at home tracked through Boom Reader 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0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To plan a coherent and well sequenced, knowledge rich curriculum which meets the needs of all learners with a focus on disadvantaged pupils.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Ambitious curriculum in place with clearly defined end-points assessed.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Style w:val="Heading1"/>
        <w:tabs>
          <w:tab w:val="left" w:leader="none" w:pos="0"/>
        </w:tabs>
        <w:rPr>
          <w:color w:val="351c75"/>
          <w:sz w:val="28"/>
          <w:szCs w:val="28"/>
        </w:rPr>
      </w:pPr>
      <w:bookmarkStart w:colFirst="0" w:colLast="0" w:name="_heading=h.4jr8taodf0a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tabs>
          <w:tab w:val="left" w:leader="none" w:pos="0"/>
        </w:tabs>
        <w:jc w:val="center"/>
        <w:rPr>
          <w:color w:val="351c75"/>
          <w:sz w:val="28"/>
          <w:szCs w:val="28"/>
        </w:rPr>
      </w:pPr>
      <w:bookmarkStart w:colFirst="0" w:colLast="0" w:name="_heading=h.5ukk1955zrm" w:id="4"/>
      <w:bookmarkEnd w:id="4"/>
      <w:r w:rsidDel="00000000" w:rsidR="00000000" w:rsidRPr="00000000">
        <w:rPr>
          <w:color w:val="351c75"/>
          <w:sz w:val="28"/>
          <w:szCs w:val="28"/>
          <w:rtl w:val="0"/>
        </w:rPr>
        <w:t xml:space="preserve">Review of targeted academic support (for example, one-to-one support structured interventions) </w:t>
      </w:r>
    </w:p>
    <w:tbl>
      <w:tblPr>
        <w:tblStyle w:val="Table5"/>
        <w:tblW w:w="10365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6375"/>
        <w:gridCol w:w="2130"/>
        <w:tblGridChange w:id="0">
          <w:tblGrid>
            <w:gridCol w:w="1860"/>
            <w:gridCol w:w="6375"/>
            <w:gridCol w:w="21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B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Spending</w:t>
            </w:r>
          </w:p>
          <w:p w:rsidR="00000000" w:rsidDel="00000000" w:rsidP="00000000" w:rsidRDefault="00000000" w:rsidRPr="00000000" w14:paraId="000000BC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Allocation</w:t>
            </w:r>
          </w:p>
          <w:p w:rsidR="00000000" w:rsidDel="00000000" w:rsidP="00000000" w:rsidRDefault="00000000" w:rsidRPr="00000000" w14:paraId="000000BD">
            <w:pPr>
              <w:spacing w:after="60" w:before="60" w:lineRule="auto"/>
              <w:ind w:left="57" w:right="57" w:firstLine="0"/>
              <w:jc w:val="center"/>
              <w:rPr>
                <w:b w:val="1"/>
                <w:color w:val="0d0d0d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£85,972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Activity and Impact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Amount Spent</w:t>
            </w:r>
          </w:p>
          <w:p w:rsidR="00000000" w:rsidDel="00000000" w:rsidP="00000000" w:rsidRDefault="00000000" w:rsidRPr="00000000" w14:paraId="000000C0">
            <w:pPr>
              <w:spacing w:after="60" w:before="60" w:lineRule="auto"/>
              <w:ind w:left="57" w:right="57" w:firstLine="0"/>
              <w:jc w:val="center"/>
              <w:rPr>
                <w:b w:val="1"/>
                <w:color w:val="0d0d0d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60" w:before="60" w:lineRule="auto"/>
              <w:ind w:left="57" w:right="57" w:firstLine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£1,000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2">
            <w:pPr>
              <w:tabs>
                <w:tab w:val="center" w:leader="none" w:pos="4513"/>
                <w:tab w:val="right" w:leader="none" w:pos="9026"/>
              </w:tabs>
              <w:jc w:val="both"/>
              <w:rPr>
                <w:b w:val="1"/>
                <w:color w:val="351c75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To employ an Intervention tutor for Phonics - Early Literacy Intervention - one to one intervention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Small group working with lower attaining PPG pupils in Phonics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13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520"/>
              <w:gridCol w:w="3650"/>
              <w:gridCol w:w="3969"/>
              <w:tblGridChange w:id="0">
                <w:tblGrid>
                  <w:gridCol w:w="2520"/>
                  <w:gridCol w:w="3650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b7b7b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Baseline</w:t>
                  </w:r>
                </w:p>
                <w:p w:rsidR="00000000" w:rsidDel="00000000" w:rsidP="00000000" w:rsidRDefault="00000000" w:rsidRPr="00000000" w14:paraId="000000C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For Year group</w:t>
                  </w:r>
                </w:p>
              </w:tc>
              <w:tc>
                <w:tcPr>
                  <w:shd w:fill="d9d2e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Phonic Screen check result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widowControl w:val="0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Year 1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39%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67%</w:t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widowControl w:val="0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240" w:line="288" w:lineRule="auto"/>
        <w:rPr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line="288" w:lineRule="auto"/>
        <w:rPr>
          <w:color w:val="351c75"/>
          <w:sz w:val="28"/>
          <w:szCs w:val="28"/>
        </w:rPr>
      </w:pPr>
      <w:r w:rsidDel="00000000" w:rsidR="00000000" w:rsidRPr="00000000">
        <w:rPr>
          <w:b w:val="1"/>
          <w:color w:val="351c75"/>
          <w:sz w:val="28"/>
          <w:szCs w:val="28"/>
          <w:rtl w:val="0"/>
        </w:rPr>
        <w:t xml:space="preserve">Review of wider strategies (for example, related to attendance, behaviour, wellbeing)</w:t>
      </w:r>
      <w:r w:rsidDel="00000000" w:rsidR="00000000" w:rsidRPr="00000000">
        <w:rPr>
          <w:rtl w:val="0"/>
        </w:rPr>
      </w:r>
    </w:p>
    <w:tbl>
      <w:tblPr>
        <w:tblStyle w:val="Table7"/>
        <w:tblW w:w="10365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6435"/>
        <w:gridCol w:w="2145"/>
        <w:tblGridChange w:id="0">
          <w:tblGrid>
            <w:gridCol w:w="1785"/>
            <w:gridCol w:w="6435"/>
            <w:gridCol w:w="21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D7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Spending</w:t>
            </w:r>
          </w:p>
          <w:p w:rsidR="00000000" w:rsidDel="00000000" w:rsidP="00000000" w:rsidRDefault="00000000" w:rsidRPr="00000000" w14:paraId="000000D8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Allocation</w:t>
            </w:r>
          </w:p>
          <w:p w:rsidR="00000000" w:rsidDel="00000000" w:rsidP="00000000" w:rsidRDefault="00000000" w:rsidRPr="00000000" w14:paraId="000000D9">
            <w:pPr>
              <w:spacing w:after="60" w:before="60" w:lineRule="auto"/>
              <w:ind w:left="57" w:right="57" w:firstLine="0"/>
              <w:jc w:val="center"/>
              <w:rPr>
                <w:b w:val="1"/>
                <w:color w:val="0d0d0d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0d0d0d"/>
                <w:sz w:val="22"/>
                <w:szCs w:val="22"/>
                <w:rtl w:val="0"/>
              </w:rPr>
              <w:t xml:space="preserve">£85,972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Activity and Impact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tabs>
                <w:tab w:val="center" w:leader="none" w:pos="4513"/>
                <w:tab w:val="right" w:leader="none" w:pos="9026"/>
              </w:tabs>
              <w:jc w:val="center"/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Amount Spent</w:t>
            </w:r>
          </w:p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color w:val="0d0d0d"/>
                <w:sz w:val="24"/>
                <w:szCs w:val="24"/>
                <w:rtl w:val="0"/>
              </w:rPr>
              <w:t xml:space="preserve">£180.00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E">
            <w:pPr>
              <w:tabs>
                <w:tab w:val="center" w:leader="none" w:pos="4513"/>
                <w:tab w:val="right" w:leader="none" w:pos="9026"/>
              </w:tabs>
              <w:jc w:val="both"/>
              <w:rPr>
                <w:b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Targeted support for PPG pupils with low attendance - providing a sport breakfast club 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Final Review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rPr>
                <w:b w:val="1"/>
                <w:color w:val="351c7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837.999999999998" w:type="dxa"/>
              <w:jc w:val="left"/>
              <w:tblInd w:w="532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60.8813806008939"/>
              <w:gridCol w:w="1720.9539453165607"/>
              <w:gridCol w:w="1452.0548913608482"/>
              <w:gridCol w:w="1452.0548913608482"/>
              <w:gridCol w:w="1452.0548913608482"/>
              <w:tblGridChange w:id="0">
                <w:tblGrid>
                  <w:gridCol w:w="1760.8813806008939"/>
                  <w:gridCol w:w="1720.9539453165607"/>
                  <w:gridCol w:w="1452.0548913608482"/>
                  <w:gridCol w:w="1452.0548913608482"/>
                  <w:gridCol w:w="1452.0548913608482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5"/>
                  <w:shd w:fill="d9d2e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3">
                  <w:pPr>
                    <w:widowControl w:val="0"/>
                    <w:jc w:val="center"/>
                    <w:rPr>
                      <w:b w:val="1"/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351c75"/>
                      <w:sz w:val="22"/>
                      <w:szCs w:val="22"/>
                      <w:rtl w:val="0"/>
                    </w:rPr>
                    <w:t xml:space="preserve">Attendance PPG pupils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8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Cohort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9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2021-2022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A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2022-2023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B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2023-2024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C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2024-2025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D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EYFS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E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92.12%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F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90.49%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0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89.56%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1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92.09%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2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Year 1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3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93.09%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4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93.44%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90.96%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88.46%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7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Year 2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92.38%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9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93.88%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A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94.61%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92.42%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C">
                  <w:pPr>
                    <w:widowControl w:val="0"/>
                    <w:jc w:val="center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ALL PPG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92.38%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E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92.79%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F">
                  <w:pPr>
                    <w:spacing w:after="60" w:before="60" w:lineRule="auto"/>
                    <w:ind w:right="57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90.49%</w:t>
                  </w:r>
                </w:p>
              </w:tc>
              <w:tc>
                <w:tcPr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0">
                  <w:pPr>
                    <w:spacing w:after="60" w:before="60" w:lineRule="auto"/>
                    <w:ind w:right="57"/>
                    <w:jc w:val="center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rtl w:val="0"/>
                    </w:rPr>
                    <w:t xml:space="preserve">91.59%</w:t>
                  </w:r>
                </w:p>
              </w:tc>
            </w:tr>
          </w:tbl>
          <w:p w:rsidR="00000000" w:rsidDel="00000000" w:rsidP="00000000" w:rsidRDefault="00000000" w:rsidRPr="00000000" w14:paraId="00000101">
            <w:pPr>
              <w:widowControl w:val="0"/>
              <w:rPr>
                <w:b w:val="1"/>
                <w:color w:val="351c7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3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9900ff"/>
                <w:sz w:val="24"/>
                <w:szCs w:val="24"/>
                <w:rtl w:val="0"/>
              </w:rPr>
              <w:t xml:space="preserve">Ensure that PPG pupils are not disadvantaged from accessing school life and the wider curriculum entitlement (Uniform fund and support for trips)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tabs>
                <w:tab w:val="center" w:leader="none" w:pos="4513"/>
                <w:tab w:val="right" w:leader="none" w:pos="9026"/>
              </w:tabs>
              <w:rPr>
                <w:b w:val="1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d0d0d"/>
                <w:sz w:val="24"/>
                <w:szCs w:val="24"/>
                <w:rtl w:val="0"/>
              </w:rPr>
              <w:t xml:space="preserve">Final Review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rPr>
                <w:color w:val="351c75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025.0" w:type="dxa"/>
              <w:jc w:val="left"/>
              <w:tblInd w:w="1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025"/>
              <w:gridCol w:w="3000"/>
              <w:tblGridChange w:id="0">
                <w:tblGrid>
                  <w:gridCol w:w="5025"/>
                  <w:gridCol w:w="30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d9d2e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b w:val="1"/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351c75"/>
                      <w:sz w:val="22"/>
                      <w:szCs w:val="22"/>
                      <w:rtl w:val="0"/>
                    </w:rPr>
                    <w:t xml:space="preserve">Support for PPG pupils</w:t>
                  </w:r>
                </w:p>
              </w:tc>
              <w:tc>
                <w:tcPr>
                  <w:shd w:fill="d9d2e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b w:val="1"/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351c75"/>
                      <w:sz w:val="22"/>
                      <w:szCs w:val="22"/>
                      <w:rtl w:val="0"/>
                    </w:rPr>
                    <w:t xml:space="preserve">Met/Not Met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A">
                  <w:pPr>
                    <w:widowControl w:val="0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PPG pupils are supported in payments for trips -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Met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C">
                  <w:pPr>
                    <w:widowControl w:val="0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Uniform has been provided for several pupils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D">
                  <w:pPr>
                    <w:widowControl w:val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Met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E">
                  <w:pPr>
                    <w:widowControl w:val="0"/>
                    <w:rPr>
                      <w:color w:val="351c75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351c75"/>
                      <w:sz w:val="22"/>
                      <w:szCs w:val="22"/>
                      <w:rtl w:val="0"/>
                    </w:rPr>
                    <w:t xml:space="preserve">Clubs have been funded for targeted pupils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F">
                  <w:pPr>
                    <w:widowControl w:val="0"/>
                    <w:jc w:val="center"/>
                    <w:rPr>
                      <w:i w:val="1"/>
                    </w:rPr>
                  </w:pPr>
                  <w:r w:rsidDel="00000000" w:rsidR="00000000" w:rsidRPr="00000000">
                    <w:rPr>
                      <w:i w:val="1"/>
                      <w:rtl w:val="0"/>
                    </w:rPr>
                    <w:t xml:space="preserve">Met</w:t>
                  </w:r>
                </w:p>
              </w:tc>
            </w:tr>
          </w:tbl>
          <w:p w:rsidR="00000000" w:rsidDel="00000000" w:rsidP="00000000" w:rsidRDefault="00000000" w:rsidRPr="00000000" w14:paraId="00000110">
            <w:pPr>
              <w:widowControl w:val="0"/>
              <w:rPr>
                <w:color w:val="351c75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88" w:lineRule="auto"/>
        <w:rPr>
          <w:rFonts w:ascii="Calibri" w:cs="Calibri" w:eastAsia="Calibri" w:hAnsi="Calibri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851" w:top="0" w:left="1134" w:right="1276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5745805" cy="7112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5805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%5"/>
      <w:lvlJc w:val="left"/>
      <w:pPr>
        <w:ind w:left="1008" w:hanging="1008"/>
      </w:pPr>
      <w:rPr/>
    </w:lvl>
    <w:lvl w:ilvl="5">
      <w:start w:val="1"/>
      <w:numFmt w:val="decimal"/>
      <w:lvlText w:val="%5.%6"/>
      <w:lvlJc w:val="left"/>
      <w:pPr>
        <w:ind w:left="1152" w:hanging="1152"/>
      </w:pPr>
      <w:rPr/>
    </w:lvl>
    <w:lvl w:ilvl="6">
      <w:start w:val="1"/>
      <w:numFmt w:val="decimal"/>
      <w:lvlText w:val="%5.%6.%7"/>
      <w:lvlJc w:val="left"/>
      <w:pPr>
        <w:ind w:left="1296" w:hanging="1296"/>
      </w:pPr>
      <w:rPr/>
    </w:lvl>
    <w:lvl w:ilvl="7">
      <w:start w:val="1"/>
      <w:numFmt w:val="decimal"/>
      <w:lvlText w:val="%5.%6.%7.%8"/>
      <w:lvlJc w:val="left"/>
      <w:pPr>
        <w:ind w:left="1440" w:hanging="1440"/>
      </w:pPr>
      <w:rPr/>
    </w:lvl>
    <w:lvl w:ilvl="8">
      <w:start w:val="1"/>
      <w:numFmt w:val="decimal"/>
      <w:lvlText w:val="%5.%6.%7.%8.%9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lineRule="auto"/>
    </w:pPr>
    <w:rPr>
      <w:b w:val="1"/>
      <w:color w:val="104f75"/>
      <w:sz w:val="36"/>
      <w:szCs w:val="36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80" w:lineRule="auto"/>
    </w:pPr>
    <w:rPr>
      <w:b w:val="1"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360" w:lineRule="auto"/>
    </w:pPr>
    <w:rPr>
      <w:b w:val="1"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Rule="auto"/>
    </w:pPr>
    <w:rPr>
      <w:b w:val="1"/>
      <w:color w:val="104f75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88" w:lineRule="auto"/>
      <w:ind w:left="1008" w:hanging="1008"/>
    </w:pPr>
    <w:rPr>
      <w:rFonts w:ascii="Calibri" w:cs="Calibri" w:eastAsia="Calibri" w:hAnsi="Calibri"/>
      <w:b w:val="1"/>
      <w:i w:val="1"/>
      <w:color w:val="0d0d0d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="288" w:lineRule="auto"/>
      <w:ind w:left="1152" w:hanging="1152"/>
    </w:pPr>
    <w:rPr>
      <w:rFonts w:ascii="Calibri" w:cs="Calibri" w:eastAsia="Calibri" w:hAnsi="Calibri"/>
      <w:b w:val="1"/>
      <w:color w:val="0d0d0d"/>
      <w:sz w:val="24"/>
      <w:szCs w:val="24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Rule="auto"/>
    </w:pPr>
    <w:rPr>
      <w:b w:val="1"/>
      <w:color w:val="104f75"/>
      <w:sz w:val="96"/>
      <w:szCs w:val="9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39"/>
    <w:rsid w:val="006C06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" w:line="288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rPr>
      <w:color w:val="000000"/>
    </w:rPr>
    <w:tblPr>
      <w:tblStyleRowBandSize w:val="1"/>
      <w:tblStyleColBandSize w:val="1"/>
    </w:tblPr>
  </w:style>
  <w:style w:type="table" w:styleId="Table2">
    <w:basedOn w:val="TableNormal"/>
    <w:rPr>
      <w:color w:val="000000"/>
    </w:rPr>
    <w:tblPr>
      <w:tblStyleRowBandSize w:val="1"/>
      <w:tblStyleColBandSize w:val="1"/>
    </w:tblPr>
  </w:style>
  <w:style w:type="table" w:styleId="Table3">
    <w:basedOn w:val="TableNormal"/>
    <w:rPr>
      <w:color w:val="000000"/>
    </w:rPr>
    <w:tblPr>
      <w:tblStyleRowBandSize w:val="1"/>
      <w:tblStyleColBandSize w:val="1"/>
    </w:tblPr>
  </w:style>
  <w:style w:type="table" w:styleId="Table4">
    <w:basedOn w:val="TableNormal"/>
    <w:rPr>
      <w:color w:val="000000"/>
    </w:rPr>
    <w:tblPr>
      <w:tblStyleRowBandSize w:val="1"/>
      <w:tblStyleColBandSize w:val="1"/>
    </w:tblPr>
  </w:style>
  <w:style w:type="table" w:styleId="Table5">
    <w:basedOn w:val="TableNormal"/>
    <w:rPr>
      <w:color w:val="000000"/>
    </w:rPr>
    <w:tblPr>
      <w:tblStyleRowBandSize w:val="1"/>
      <w:tblStyleColBandSize w:val="1"/>
    </w:tblPr>
  </w:style>
  <w:style w:type="table" w:styleId="Table6">
    <w:basedOn w:val="TableNormal"/>
    <w:rPr>
      <w:color w:val="000000"/>
    </w:rPr>
    <w:tblPr>
      <w:tblStyleRowBandSize w:val="1"/>
      <w:tblStyleColBandSize w:val="1"/>
    </w:tblPr>
  </w:style>
  <w:style w:type="table" w:styleId="Table7">
    <w:basedOn w:val="TableNormal"/>
    <w:rPr>
      <w:color w:val="000000"/>
    </w:rPr>
    <w:tblPr>
      <w:tblStyleRowBandSize w:val="1"/>
      <w:tblStyleColBandSize w:val="1"/>
    </w:tblPr>
  </w:style>
  <w:style w:type="table" w:styleId="Table8">
    <w:basedOn w:val="TableNormal"/>
    <w:rPr>
      <w:color w:val="000000"/>
    </w:rPr>
    <w:tblPr>
      <w:tblStyleRowBandSize w:val="1"/>
      <w:tblStyleColBandSize w:val="1"/>
    </w:tblPr>
  </w:style>
  <w:style w:type="table" w:styleId="Table9">
    <w:basedOn w:val="TableNormal"/>
    <w:rPr>
      <w:color w:val="00000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A29zhjcOGU+5pzT9UPk/YO2Ag==">CgMxLjAyDWgudnBteGZoeGR1OTAyDWguMjJvYmtiZGMxcjkyDmguZDJlcXpycTgzeTZiMg5oLjRqcjh0YW9kZjBhNDINaC41dWtrMTk1NXpybTgAciExeVNwN28wU1JRdS1qTUV3enEwaWs0NTcwRHZTVFdfWlg=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52981c006f1f5b7c52f73f990173f3e0eee4053c836015892635f8b01b5024bd</vt:lpwstr>
  </property>
</Properties>
</file>